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Por omisión"/>
        <w:suppressAutoHyphens w:val="1"/>
        <w:spacing w:before="0" w:after="240" w:line="240" w:lineRule="auto"/>
        <w:rPr>
          <w:rFonts w:ascii="Times Roman" w:cs="Times Roman" w:hAnsi="Times Roman" w:eastAsia="Times Roman"/>
          <w:i w:val="1"/>
          <w:iCs w:val="1"/>
        </w:rPr>
      </w:pPr>
      <w:r>
        <w:rPr>
          <w:rFonts w:ascii="Times Roman" w:hAnsi="Times Roman"/>
          <w:i w:val="1"/>
          <w:iCs w:val="1"/>
          <w:rtl w:val="0"/>
          <w:lang w:val="es-ES_tradnl"/>
        </w:rPr>
        <w:t>FICHA PR</w:t>
      </w:r>
      <w:r>
        <w:rPr>
          <w:rFonts w:ascii="Times Roman" w:hAnsi="Times Roman" w:hint="default"/>
          <w:i w:val="1"/>
          <w:iCs w:val="1"/>
          <w:rtl w:val="0"/>
          <w:lang w:val="es-ES_tradnl"/>
        </w:rPr>
        <w:t>Á</w:t>
      </w:r>
      <w:r>
        <w:rPr>
          <w:rFonts w:ascii="Times Roman" w:hAnsi="Times Roman"/>
          <w:i w:val="1"/>
          <w:iCs w:val="1"/>
          <w:rtl w:val="0"/>
          <w:lang w:val="es-ES_tradnl"/>
        </w:rPr>
        <w:t>CTICA</w:t>
      </w:r>
    </w:p>
    <w:p>
      <w:pPr>
        <w:pStyle w:val="Por omisión"/>
        <w:suppressAutoHyphens w:val="1"/>
        <w:spacing w:before="0" w:after="240" w:line="240" w:lineRule="auto"/>
        <w:rPr>
          <w:rStyle w:val="Ninguno"/>
          <w:rFonts w:ascii="Times Roman" w:cs="Times Roman" w:hAnsi="Times Roman" w:eastAsia="Times Roman"/>
          <w:i w:val="0"/>
          <w:iCs w:val="0"/>
        </w:rPr>
      </w:pPr>
      <w:r>
        <w:rPr>
          <w:rStyle w:val="Ninguno"/>
          <w:rFonts w:ascii="Times Roman" w:hAnsi="Times Roman"/>
          <w:b w:val="1"/>
          <w:bCs w:val="1"/>
          <w:i w:val="0"/>
          <w:iCs w:val="0"/>
          <w:rtl w:val="0"/>
        </w:rPr>
        <w:t>T</w:t>
      </w:r>
      <w:r>
        <w:rPr>
          <w:rStyle w:val="Ninguno"/>
          <w:rFonts w:ascii="Times Roman" w:hAnsi="Times Roman" w:hint="default"/>
          <w:b w:val="1"/>
          <w:bCs w:val="1"/>
          <w:i w:val="0"/>
          <w:iCs w:val="0"/>
          <w:rtl w:val="0"/>
        </w:rPr>
        <w:t>í</w:t>
      </w:r>
      <w:r>
        <w:rPr>
          <w:rStyle w:val="Ninguno"/>
          <w:rFonts w:ascii="Times Roman" w:hAnsi="Times Roman"/>
          <w:b w:val="1"/>
          <w:bCs w:val="1"/>
          <w:i w:val="0"/>
          <w:iCs w:val="0"/>
          <w:rtl w:val="0"/>
          <w:lang w:val="es-ES_tradnl"/>
        </w:rPr>
        <w:t>tulo:</w:t>
      </w:r>
      <w:r>
        <w:rPr>
          <w:rStyle w:val="Ninguno"/>
          <w:rFonts w:ascii="Times Roman" w:hAnsi="Times Roman"/>
          <w:i w:val="0"/>
          <w:iCs w:val="0"/>
          <w:rtl w:val="0"/>
        </w:rPr>
        <w:t xml:space="preserve"> </w:t>
      </w:r>
      <w:r>
        <w:rPr>
          <w:rFonts w:ascii="Times Roman" w:hAnsi="Times Roman"/>
          <w:i w:val="1"/>
          <w:iCs w:val="1"/>
          <w:rtl w:val="0"/>
          <w:lang w:val="es-ES_tradnl"/>
        </w:rPr>
        <w:t>Comentario de Fuente Primaria: El control de la vida cotidiana.</w:t>
      </w:r>
    </w:p>
    <w:p>
      <w:pPr>
        <w:pStyle w:val="Por omisión"/>
        <w:suppressAutoHyphens w:val="1"/>
        <w:spacing w:before="0" w:after="240" w:line="240" w:lineRule="auto"/>
        <w:rPr>
          <w:rStyle w:val="Ninguno"/>
          <w:rFonts w:ascii="Times Roman" w:cs="Times Roman" w:hAnsi="Times Roman" w:eastAsia="Times Roman"/>
          <w:b w:val="0"/>
          <w:bCs w:val="0"/>
        </w:rPr>
      </w:pPr>
      <w:r>
        <w:rPr>
          <w:rFonts w:ascii="Times Roman" w:hAnsi="Times Roman"/>
          <w:b w:val="1"/>
          <w:bCs w:val="1"/>
          <w:rtl w:val="0"/>
          <w:lang w:val="pt-PT"/>
        </w:rPr>
        <w:t>Texto de an</w:t>
      </w:r>
      <w:r>
        <w:rPr>
          <w:rFonts w:ascii="Times Roman" w:hAnsi="Times Roman" w:hint="default"/>
          <w:b w:val="1"/>
          <w:bCs w:val="1"/>
          <w:rtl w:val="0"/>
        </w:rPr>
        <w:t>á</w:t>
      </w:r>
      <w:r>
        <w:rPr>
          <w:rFonts w:ascii="Times Roman" w:hAnsi="Times Roman"/>
          <w:b w:val="1"/>
          <w:bCs w:val="1"/>
          <w:rtl w:val="0"/>
          <w:lang w:val="es-ES_tradnl"/>
        </w:rPr>
        <w:t>lisis (Fragmento adaptado):</w:t>
      </w:r>
    </w:p>
    <w:p>
      <w:pPr>
        <w:pStyle w:val="Por omisión"/>
        <w:suppressAutoHyphens w:val="1"/>
        <w:spacing w:before="0" w:after="240" w:line="240" w:lineRule="auto"/>
        <w:rPr>
          <w:rStyle w:val="Ninguno"/>
          <w:rFonts w:ascii="Times Roman" w:cs="Times Roman" w:hAnsi="Times Roman" w:eastAsia="Times Roman"/>
          <w:i w:val="0"/>
          <w:iCs w:val="0"/>
        </w:rPr>
      </w:pPr>
      <w:r>
        <w:rPr>
          <w:rFonts w:ascii="Times Roman" w:hAnsi="Times Roman"/>
          <w:i w:val="1"/>
          <w:iCs w:val="1"/>
          <w:rtl w:val="0"/>
          <w:lang w:val="es-ES_tradnl"/>
        </w:rPr>
        <w:t>"Se hace saber a todos los vecinos de Murcia que queda terminantemente prohibido el transporte de harina y aceite sin la debida gu</w:t>
      </w:r>
      <w:r>
        <w:rPr>
          <w:rFonts w:ascii="Times Roman" w:hAnsi="Times Roman" w:hint="default"/>
          <w:i w:val="1"/>
          <w:iCs w:val="1"/>
          <w:rtl w:val="0"/>
        </w:rPr>
        <w:t>í</w:t>
      </w:r>
      <w:r>
        <w:rPr>
          <w:rFonts w:ascii="Times Roman" w:hAnsi="Times Roman"/>
          <w:i w:val="1"/>
          <w:iCs w:val="1"/>
          <w:rtl w:val="0"/>
          <w:lang w:val="es-ES_tradnl"/>
        </w:rPr>
        <w:t>a de circulaci</w:t>
      </w:r>
      <w:r>
        <w:rPr>
          <w:rFonts w:ascii="Times Roman" w:hAnsi="Times Roman" w:hint="default"/>
          <w:i w:val="1"/>
          <w:iCs w:val="1"/>
          <w:rtl w:val="0"/>
          <w:lang w:val="es-ES_tradnl"/>
        </w:rPr>
        <w:t>ó</w:t>
      </w:r>
      <w:r>
        <w:rPr>
          <w:rFonts w:ascii="Times Roman" w:hAnsi="Times Roman"/>
          <w:i w:val="1"/>
          <w:iCs w:val="1"/>
          <w:rtl w:val="0"/>
          <w:lang w:val="es-ES_tradnl"/>
        </w:rPr>
        <w:t>n. Los infractores ser</w:t>
      </w:r>
      <w:r>
        <w:rPr>
          <w:rFonts w:ascii="Times Roman" w:hAnsi="Times Roman" w:hint="default"/>
          <w:i w:val="1"/>
          <w:iCs w:val="1"/>
          <w:rtl w:val="0"/>
        </w:rPr>
        <w:t>á</w:t>
      </w:r>
      <w:r>
        <w:rPr>
          <w:rFonts w:ascii="Times Roman" w:hAnsi="Times Roman"/>
          <w:i w:val="1"/>
          <w:iCs w:val="1"/>
          <w:rtl w:val="0"/>
          <w:lang w:val="es-ES_tradnl"/>
        </w:rPr>
        <w:t>n sancionados con multas graves y el decomiso de la mercanc</w:t>
      </w:r>
      <w:r>
        <w:rPr>
          <w:rFonts w:ascii="Times Roman" w:hAnsi="Times Roman" w:hint="default"/>
          <w:i w:val="1"/>
          <w:iCs w:val="1"/>
          <w:rtl w:val="0"/>
        </w:rPr>
        <w:t>í</w:t>
      </w:r>
      <w:r>
        <w:rPr>
          <w:rFonts w:ascii="Times Roman" w:hAnsi="Times Roman"/>
          <w:i w:val="1"/>
          <w:iCs w:val="1"/>
          <w:rtl w:val="0"/>
          <w:lang w:val="es-ES_tradnl"/>
        </w:rPr>
        <w:t>a en los fielatos de entrada..."</w:t>
      </w:r>
      <w:r>
        <w:rPr>
          <w:rStyle w:val="Ninguno"/>
          <w:rFonts w:ascii="Times Roman" w:hAnsi="Times Roman"/>
          <w:i w:val="0"/>
          <w:iCs w:val="0"/>
          <w:rtl w:val="0"/>
          <w:lang w:val="es-ES_tradnl"/>
        </w:rPr>
        <w:t xml:space="preserve"> (B.O.P. Murcia, 1942).</w:t>
      </w:r>
    </w:p>
    <w:p>
      <w:pPr>
        <w:pStyle w:val="Por omisión"/>
        <w:suppressAutoHyphens w:val="1"/>
        <w:spacing w:before="0" w:after="240" w:line="240" w:lineRule="auto"/>
        <w:rPr>
          <w:rStyle w:val="Ninguno"/>
          <w:rFonts w:ascii="Times Roman" w:cs="Times Roman" w:hAnsi="Times Roman" w:eastAsia="Times Roman"/>
          <w:b w:val="0"/>
          <w:bCs w:val="0"/>
        </w:rPr>
      </w:pPr>
      <w:r>
        <w:rPr>
          <w:rFonts w:ascii="Times Roman" w:hAnsi="Times Roman"/>
          <w:b w:val="1"/>
          <w:bCs w:val="1"/>
          <w:rtl w:val="0"/>
          <w:lang w:val="es-ES_tradnl"/>
        </w:rPr>
        <w:t>Actividad de pr</w:t>
      </w:r>
      <w:r>
        <w:rPr>
          <w:rFonts w:ascii="Times Roman" w:hAnsi="Times Roman" w:hint="default"/>
          <w:b w:val="1"/>
          <w:bCs w:val="1"/>
          <w:rtl w:val="0"/>
        </w:rPr>
        <w:t>á</w:t>
      </w:r>
      <w:r>
        <w:rPr>
          <w:rFonts w:ascii="Times Roman" w:hAnsi="Times Roman"/>
          <w:b w:val="1"/>
          <w:bCs w:val="1"/>
          <w:rtl w:val="0"/>
          <w:lang w:val="es-ES_tradnl"/>
        </w:rPr>
        <w:t>ctica:</w:t>
      </w:r>
    </w:p>
    <w:p>
      <w:pPr>
        <w:pStyle w:val="Por omisión"/>
        <w:numPr>
          <w:ilvl w:val="0"/>
          <w:numId w:val="2"/>
        </w:numPr>
        <w:suppressAutoHyphens w:val="1"/>
        <w:spacing w:before="0" w:after="240" w:line="240" w:lineRule="auto"/>
        <w:jc w:val="left"/>
        <w:rPr>
          <w:rFonts w:ascii="Times Roman" w:hAnsi="Times Roman"/>
          <w:lang w:val="es-ES_tradnl"/>
        </w:rPr>
      </w:pPr>
      <w:r>
        <w:rPr>
          <w:rStyle w:val="Ninguno"/>
          <w:rFonts w:ascii="Times Roman" w:hAnsi="Times Roman"/>
          <w:b w:val="1"/>
          <w:bCs w:val="1"/>
          <w:rtl w:val="0"/>
          <w:lang w:val="es-ES_tradnl"/>
        </w:rPr>
        <w:t>Clasificaci</w:t>
      </w:r>
      <w:r>
        <w:rPr>
          <w:rStyle w:val="Ninguno"/>
          <w:rFonts w:ascii="Times Roman" w:hAnsi="Times Roman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Times Roman" w:hAnsi="Times Roman"/>
          <w:b w:val="1"/>
          <w:bCs w:val="1"/>
          <w:rtl w:val="0"/>
          <w:lang w:val="de-DE"/>
        </w:rPr>
        <w:t>n:</w:t>
      </w:r>
      <w:r>
        <w:rPr>
          <w:rFonts w:ascii="Times Roman" w:hAnsi="Times Roman" w:hint="default"/>
          <w:rtl w:val="0"/>
          <w:lang w:val="es-ES_tradnl"/>
        </w:rPr>
        <w:t xml:space="preserve"> ¿</w:t>
      </w:r>
      <w:r>
        <w:rPr>
          <w:rFonts w:ascii="Times Roman" w:hAnsi="Times Roman"/>
          <w:rtl w:val="0"/>
          <w:lang w:val="es-ES_tradnl"/>
        </w:rPr>
        <w:t xml:space="preserve">Es una fuente primaria o secundaria? </w:t>
      </w:r>
      <w:r>
        <w:rPr>
          <w:rFonts w:ascii="Times Roman" w:hAnsi="Times Roman" w:hint="default"/>
          <w:rtl w:val="0"/>
          <w:lang w:val="es-ES_tradnl"/>
        </w:rPr>
        <w:t>¿</w:t>
      </w:r>
      <w:r>
        <w:rPr>
          <w:rFonts w:ascii="Times Roman" w:hAnsi="Times Roman"/>
          <w:rtl w:val="0"/>
        </w:rPr>
        <w:t>Cu</w:t>
      </w:r>
      <w:r>
        <w:rPr>
          <w:rFonts w:ascii="Times Roman" w:hAnsi="Times Roman" w:hint="default"/>
          <w:rtl w:val="0"/>
        </w:rPr>
        <w:t>á</w:t>
      </w:r>
      <w:r>
        <w:rPr>
          <w:rFonts w:ascii="Times Roman" w:hAnsi="Times Roman"/>
          <w:rtl w:val="0"/>
          <w:lang w:val="es-ES_tradnl"/>
        </w:rPr>
        <w:t>l es su naturaleza (jur</w:t>
      </w:r>
      <w:r>
        <w:rPr>
          <w:rFonts w:ascii="Times Roman" w:hAnsi="Times Roman" w:hint="default"/>
          <w:rtl w:val="0"/>
        </w:rPr>
        <w:t>í</w:t>
      </w:r>
      <w:r>
        <w:rPr>
          <w:rFonts w:ascii="Times Roman" w:hAnsi="Times Roman"/>
          <w:rtl w:val="0"/>
          <w:lang w:val="es-ES_tradnl"/>
        </w:rPr>
        <w:t>dica, estad</w:t>
      </w:r>
      <w:r>
        <w:rPr>
          <w:rFonts w:ascii="Times Roman" w:hAnsi="Times Roman" w:hint="default"/>
          <w:rtl w:val="0"/>
        </w:rPr>
        <w:t>í</w:t>
      </w:r>
      <w:r>
        <w:rPr>
          <w:rFonts w:ascii="Times Roman" w:hAnsi="Times Roman"/>
          <w:rtl w:val="0"/>
          <w:lang w:val="it-IT"/>
        </w:rPr>
        <w:t>stica, testimonial)?</w:t>
      </w:r>
    </w:p>
    <w:p>
      <w:pPr>
        <w:pStyle w:val="Por omisión"/>
        <w:numPr>
          <w:ilvl w:val="0"/>
          <w:numId w:val="2"/>
        </w:numPr>
        <w:suppressAutoHyphens w:val="1"/>
        <w:spacing w:before="0" w:after="240" w:line="240" w:lineRule="auto"/>
        <w:jc w:val="left"/>
        <w:rPr>
          <w:rFonts w:ascii="Times Roman" w:hAnsi="Times Roman"/>
        </w:rPr>
      </w:pPr>
      <w:r>
        <w:rPr>
          <w:rStyle w:val="Ninguno"/>
          <w:rFonts w:ascii="Times Roman" w:hAnsi="Times Roman"/>
          <w:b w:val="1"/>
          <w:bCs w:val="1"/>
          <w:rtl w:val="0"/>
        </w:rPr>
        <w:t>An</w:t>
      </w:r>
      <w:r>
        <w:rPr>
          <w:rStyle w:val="Ninguno"/>
          <w:rFonts w:ascii="Times Roman" w:hAnsi="Times Roman" w:hint="default"/>
          <w:b w:val="1"/>
          <w:bCs w:val="1"/>
          <w:rtl w:val="0"/>
        </w:rPr>
        <w:t>á</w:t>
      </w:r>
      <w:r>
        <w:rPr>
          <w:rStyle w:val="Ninguno"/>
          <w:rFonts w:ascii="Times Roman" w:hAnsi="Times Roman"/>
          <w:b w:val="1"/>
          <w:bCs w:val="1"/>
          <w:rtl w:val="0"/>
        </w:rPr>
        <w:t>lisis:</w:t>
      </w:r>
      <w:r>
        <w:rPr>
          <w:rFonts w:ascii="Times Roman" w:hAnsi="Times Roman"/>
          <w:rtl w:val="0"/>
          <w:lang w:val="es-ES_tradnl"/>
        </w:rPr>
        <w:t xml:space="preserve"> Identifica las dos instituciones de control que aparecen impl</w:t>
      </w:r>
      <w:r>
        <w:rPr>
          <w:rFonts w:ascii="Times Roman" w:hAnsi="Times Roman" w:hint="default"/>
          <w:rtl w:val="0"/>
        </w:rPr>
        <w:t>í</w:t>
      </w:r>
      <w:r>
        <w:rPr>
          <w:rFonts w:ascii="Times Roman" w:hAnsi="Times Roman"/>
          <w:rtl w:val="0"/>
          <w:lang w:val="es-ES_tradnl"/>
        </w:rPr>
        <w:t>citamente en el texto.</w:t>
      </w:r>
    </w:p>
    <w:p>
      <w:pPr>
        <w:pStyle w:val="Por omisión"/>
        <w:numPr>
          <w:ilvl w:val="0"/>
          <w:numId w:val="2"/>
        </w:numPr>
        <w:suppressAutoHyphens w:val="1"/>
        <w:spacing w:before="0" w:after="240" w:line="240" w:lineRule="auto"/>
        <w:jc w:val="left"/>
        <w:rPr>
          <w:rFonts w:ascii="Times Roman" w:hAnsi="Times Roman"/>
          <w:lang w:val="es-ES_tradnl"/>
        </w:rPr>
      </w:pPr>
      <w:r>
        <w:rPr>
          <w:rStyle w:val="Ninguno"/>
          <w:rFonts w:ascii="Times Roman" w:hAnsi="Times Roman"/>
          <w:b w:val="1"/>
          <w:bCs w:val="1"/>
          <w:rtl w:val="0"/>
          <w:lang w:val="es-ES_tradnl"/>
        </w:rPr>
        <w:t>Contextualizaci</w:t>
      </w:r>
      <w:r>
        <w:rPr>
          <w:rStyle w:val="Ninguno"/>
          <w:rFonts w:ascii="Times Roman" w:hAnsi="Times Roman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Times Roman" w:hAnsi="Times Roman"/>
          <w:b w:val="1"/>
          <w:bCs w:val="1"/>
          <w:rtl w:val="0"/>
          <w:lang w:val="de-DE"/>
        </w:rPr>
        <w:t>n:</w:t>
      </w:r>
      <w:r>
        <w:rPr>
          <w:rFonts w:ascii="Times Roman" w:hAnsi="Times Roman"/>
          <w:rtl w:val="0"/>
          <w:lang w:val="es-ES_tradnl"/>
        </w:rPr>
        <w:t xml:space="preserve"> Relaciona este bando con el concepto de "Autarqu</w:t>
      </w:r>
      <w:r>
        <w:rPr>
          <w:rFonts w:ascii="Times Roman" w:hAnsi="Times Roman" w:hint="default"/>
          <w:rtl w:val="0"/>
        </w:rPr>
        <w:t>í</w:t>
      </w:r>
      <w:r>
        <w:rPr>
          <w:rFonts w:ascii="Times Roman" w:hAnsi="Times Roman"/>
          <w:rtl w:val="0"/>
          <w:lang w:val="es-ES_tradnl"/>
        </w:rPr>
        <w:t>a" y explica por qu</w:t>
      </w:r>
      <w:r>
        <w:rPr>
          <w:rFonts w:ascii="Times Roman" w:hAnsi="Times Roman" w:hint="default"/>
          <w:rtl w:val="0"/>
          <w:lang w:val="fr-FR"/>
        </w:rPr>
        <w:t xml:space="preserve">é </w:t>
      </w:r>
      <w:r>
        <w:rPr>
          <w:rFonts w:ascii="Times Roman" w:hAnsi="Times Roman"/>
          <w:rtl w:val="0"/>
          <w:lang w:val="es-ES_tradnl"/>
        </w:rPr>
        <w:t>un vecino de la huerta se arriesgar</w:t>
      </w:r>
      <w:r>
        <w:rPr>
          <w:rFonts w:ascii="Times Roman" w:hAnsi="Times Roman" w:hint="default"/>
          <w:rtl w:val="0"/>
        </w:rPr>
        <w:t>í</w:t>
      </w:r>
      <w:r>
        <w:rPr>
          <w:rFonts w:ascii="Times Roman" w:hAnsi="Times Roman"/>
          <w:rtl w:val="0"/>
          <w:lang w:val="es-ES_tradnl"/>
        </w:rPr>
        <w:t>a a incumplirlo para ir a la Plaza de las Flores.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Times Roman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Número"/>
  </w:abstractNum>
  <w:abstractNum w:abstractNumId="1">
    <w:multiLevelType w:val="hybridMultilevel"/>
    <w:styleLink w:val="Número"/>
    <w:lvl w:ilvl="0">
      <w:start w:val="1"/>
      <w:numFmt w:val="decimal"/>
      <w:suff w:val="tab"/>
      <w:lvlText w:val="%1."/>
      <w:lvlJc w:val="left"/>
      <w:pPr>
        <w:ind w:left="72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94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16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138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160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182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204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226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248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Por omisión">
    <w:name w:val="Por omisión"/>
    <w:next w:val="Por omisión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es-ES_tradnl"/>
      <w14:textOutline>
        <w14:noFill/>
      </w14:textOutline>
      <w14:textFill>
        <w14:solidFill>
          <w14:srgbClr w14:val="000000"/>
        </w14:solidFill>
      </w14:textFill>
    </w:rPr>
  </w:style>
  <w:style w:type="character" w:styleId="Ninguno">
    <w:name w:val="Ninguno"/>
  </w:style>
  <w:style w:type="numbering" w:styleId="Número">
    <w:name w:val="Número"/>
    <w:pPr>
      <w:numPr>
        <w:numId w:val="1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